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4E3" w:rsidRDefault="007031A9">
      <w:pPr>
        <w:shd w:val="clear" w:color="000000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5939790" cy="8396605"/>
            <wp:effectExtent l="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/Users/пк/AppData/Roaming/PolarisOffice9/ETemp/21620_21619376/fImage234812164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:rsidR="00E954E3" w:rsidRDefault="00E954E3">
      <w:pPr>
        <w:shd w:val="clear" w:color="000000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4E3" w:rsidRDefault="00E954E3">
      <w:pPr>
        <w:shd w:val="clear" w:color="000000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4E3" w:rsidRDefault="00E954E3">
      <w:pPr>
        <w:shd w:val="clear" w:color="000000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4E3" w:rsidRDefault="007031A9">
      <w:pPr>
        <w:shd w:val="clear" w:color="000000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Рабочая программа курса внеурочной деятельности «Занимательная математика» </w:t>
      </w:r>
      <w:r>
        <w:rPr>
          <w:rFonts w:ascii="Times New Roman" w:eastAsia="Times New Roman" w:hAnsi="Times New Roman" w:cs="Times New Roman"/>
          <w:sz w:val="24"/>
          <w:szCs w:val="24"/>
        </w:rPr>
        <w:t>для 8а класса составлена в соответствии с федеральным государственным образовательным стандартом основного общего образования, Основной образовательной программой основного общего образования Г</w:t>
      </w:r>
      <w:r>
        <w:rPr>
          <w:rFonts w:ascii="Times New Roman" w:eastAsia="Times New Roman" w:hAnsi="Times New Roman" w:cs="Times New Roman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"Казанская школа-интернат №4 для детей с ограниченными возм</w:t>
      </w:r>
      <w:r>
        <w:rPr>
          <w:rFonts w:ascii="Times New Roman" w:eastAsia="Times New Roman" w:hAnsi="Times New Roman" w:cs="Times New Roman"/>
          <w:sz w:val="24"/>
          <w:szCs w:val="24"/>
        </w:rPr>
        <w:t>ожностями здоровья" на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год, Учебным планом внеурочной деятельности ГБОУ "Казанская школа-интернат №4 для детей с ограниченными возможностями здоровья" на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для 5-10 классов. Календарным учебным графиком ГБОУ "Казан</w:t>
      </w:r>
      <w:r>
        <w:rPr>
          <w:rFonts w:ascii="Times New Roman" w:eastAsia="Times New Roman" w:hAnsi="Times New Roman" w:cs="Times New Roman"/>
          <w:sz w:val="24"/>
          <w:szCs w:val="24"/>
        </w:rPr>
        <w:t>ская школа-интернат №4 для детей с ограниченными возможностями здоровья" на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E954E3" w:rsidRDefault="007031A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Рабочая программа рассчитана на 1 час в неделю, 34 часа в год. Рабочая программа ориентирована на  повторение содержательно-методических линий учебного пр</w:t>
      </w:r>
      <w:r>
        <w:rPr>
          <w:rFonts w:ascii="Times New Roman" w:eastAsia="Times New Roman" w:hAnsi="Times New Roman" w:cs="Times New Roman"/>
          <w:sz w:val="24"/>
          <w:szCs w:val="24"/>
        </w:rPr>
        <w:t>едмета «Математика» за 5-8 класс: алгебраические выражения, функции, уравнения и неравенства,  геометрия.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определена тем, что учащиеся получают возможность посмотреть на различные проблемы с позиции ученых, ощутить весь спектр тре</w:t>
      </w:r>
      <w:r>
        <w:rPr>
          <w:rFonts w:ascii="Times New Roman" w:eastAsia="Times New Roman" w:hAnsi="Times New Roman" w:cs="Times New Roman"/>
          <w:sz w:val="24"/>
          <w:szCs w:val="24"/>
        </w:rPr>
        <w:t>бований к научному исследованию, получить информацию о международном гуманитарном праве.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Программа позволяет реализов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ать актуальные в настоящее время компетентностный, деятельностный подходы.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Цель внеурочной деятельности: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успешного освоения учениками основ исследовательской деятельности, развитие интереса учащихся к математике.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развит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математического кругозора, мышления, исследовательских умений учащихся;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развитие логики и сообразительности, интуиции, пространственного воображения, математического мышления;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развивать познавательную и творческую активность учащихся;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выработать у учащихся навыки работы с научной литературой с соответствующим составлением кратких текстов прочитанной информации; 5. рассмотреть с учащимися некоторые методы решения старинных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арифметических и логических задач;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достижение повышения уровня математической подготовки учащихся;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подготовить учащихся к участию в олимпиадах и конкурсах.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формирование "базы знаний" по алгебре, геометрии и реальной математике, позволяющей бес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препятственно оперировать математическим материалом вне зависимости от способа проверки знаний.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программе заложена возможность дифференцированного обучения.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Применяются следующие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виды деятельности на занятиях: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обсуждение,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конструирование тестов, заданий, исследовательская деятельность, работа с текстом, диспут, обзорные лекции, мини-лекции, семинары и практикумы по решению задач, предусмотрены консультации.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Существенным является организация работы по обучению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заполнения бланков итоговой аттестации, что, безусловно, будет способствовать снятию психологического напряжения учащихся перед процедурой экзамена.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Методы и формы обучения определяются требованиями ФГОС, с учетом индивидуальных и возрастных особенностей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учащихся, развития и саморазвития личности. В связи с этим определены основные приоритеты методики изучения элективного курса: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обучение через опыт и сотрудничество;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● интерактивность (работа в малых группах, ролевые игры, тренинги, вне занятий - метод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проектов);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личностно-деятельностный и субъект–субъективный подход (большее внимание к личности учащегося, а не целям учителя, равноправное их взаимодействие).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Формы и методы контроля: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тестирование, самопроверка, взаимопроверка учащимися друг друга,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обеседование, письменный и устный зачет, проверочные письменные работы, наблюдение. Количество заданий в тестах по каждой теме не одинаково, они носят комплексный характер, и большая часть их призвана выявить уровень знаний и умений тестируемого.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При прослушивании блоков лекционного материала и проведения семинара, закрепляющего знания учащихся, предусматривается индивидуальное или групповое домашнее задание, содержащее элементы исследовательской работы, задачи для самостоятельного реш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ения. Защита решений и результатов исследований проводится на выделенном для этого занятии и оценивается по пятибалльной системе или системе «зачет-незачет», в зависимости от уровня подготовленности группы.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Основным дидактическим средством являются текст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 рассматриваемых типов задач, которые выбраны из разнообразных сборников, различных вариантов  ГИА, открытого банка заданий ОГЭ и ГВЭ.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Рабочая программа по внеурочной деятельности рассчитана на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- 202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– 34 часа (1 час в неделю). </w:t>
      </w:r>
    </w:p>
    <w:p w:rsidR="00E954E3" w:rsidRDefault="00E954E3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 литературы для педагога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Галицкий М.Л., Гольдман А. М., Звавич Л. И. Сборник задач по алгебре. 8-9 классы. Пособие для учащихся общеобразовательных организаций. – М.: Просвещение,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последующие издания.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Горштейн П. И., Полонский В. Б., Якир М</w:t>
      </w:r>
      <w:r>
        <w:rPr>
          <w:rFonts w:ascii="Times New Roman" w:eastAsia="Times New Roman" w:hAnsi="Times New Roman" w:cs="Times New Roman"/>
          <w:sz w:val="24"/>
          <w:szCs w:val="24"/>
        </w:rPr>
        <w:t>. С. Задачи с параметрами. – М.: Илекса, 20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последующие годы издания.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Зив Б. Г. и др. Задачи по геометрии, 7-11. – М.: Просвещение, 2017.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Симонов А.С. Сложные проценты. / Математика в школе. –2011. - № 5.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Ткачева М.В., Федорова Н.Е. Элемент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 статистики и вероятность. М.: Просвещение, 2023 г издания.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Шевкин, А.В. Текстовые задачи. – М.: Просвещение, 20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Ященко И.В., Семенов А.В. и др. Математика. ОГЭ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Готовимся к итоговой аттестации. – М.: Интеллект-Центр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Галицкий М.Л., Гольдман А. М., Звавич Л. И. Сборник задач по алгебре. 8-9 классы. Пособие для учащихся общеобразовательных организаций. – М.: Просвещение,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последующие издания.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Зив Б. Г. и др. Задачи по геометрии, 7-11. – М.: Просвещение,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954E3" w:rsidRDefault="007031A9">
      <w:pPr>
        <w:shd w:val="clear" w:color="000000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проведения занятий.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Формы организации занятий разнообразны: беседа, конкурсы, викторины, </w:t>
      </w:r>
      <w:r>
        <w:rPr>
          <w:rFonts w:ascii="Times New Roman" w:eastAsia="Times New Roman" w:hAnsi="Times New Roman" w:cs="Times New Roman"/>
          <w:sz w:val="24"/>
          <w:szCs w:val="24"/>
        </w:rPr>
        <w:t>познавательно развлекательные игры, тематические устные журналы, конференции, олимпиады.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Курс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тересы учащихся.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каждом занятии прослеживаются три части: теоретическая, игровая, практическая.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Основные методы и технологии: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технология разноуровневого обучения;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развивающее обучение;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● технология обучения в сотрудничестве;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коммуникативная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результаты.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В ходе изучения данного курса в основно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формируются и получают развитие следующие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 результаты: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умение самостоятельно планировать пути достижения цели, в том числе альтернативные, осознанно выбирать наиболее эффективные способы решения задач;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умение соотносить свои действия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планируемыми результатами, осуществлять контроль всей деятельности в процессе достижения результата, корректировать свои действия в соответствии с изменяющейся ситуацией;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умение оценивать правильность выполнения учебной задачи, собственные возможности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ее решения;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умение создавать, применять и преобразовывать знаки и символы, модели и схемы для решения учебных задач;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овладение основами самоконтроля, самооценки, принятия решений и осуществления осознанного выбора в учебной и познавательной деятельн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ости;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умение организовывать сотрудничество и совместную деятельность с учителем и сверстниками; работать индивидуально в группе: находить общее решение и разрешать конфликты на основе согласования позиций и учета интересов; формулировать, аргументироват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 и отстаивать свое мнение; формирование и развитие компетентности в области использования информационно-коммуникационных технологий (далее ИКТ компетенции).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Личностные результаты: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развитие любознательности, сообразительности при выполнении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разнообразных заданий проблемного и эвристического характера;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развитие внимательности, настойчивости, целеустремленности, умения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преодолевать трудности – качеств весьма важных в практической деятельности любого человека;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воспитание чувства справ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едливости, ответственности;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развитие самостоятельности суждений, независимости и нестандартности мышления.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Предметные результаты: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Ученик научится: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извлекать информацию, представленную в таблицах, на диаграммах, графиках;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уметь решать нестандартные уравнения и неравенства, квадратные уравнения;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уметь формализовать и структурировать информацию;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уметь выбирать способ представления данных в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ответствии с поставленной задачей – в таблицы, схемы, графики, диаграммы с использованием соответствующих программных средств обработки данных.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формирование представлений о статистических закономерностях в реальном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мире и о различных способах их изучения, о простейших вероятностных моделях;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составлять и решать нестандартные уравнения, системы уравнений и неравенства при решении задач других учебных предметов;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использовать уравнения и неравенства для построения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исследования простейших математических моделей реальных ситуаций или прикладных задач;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выбирать оптимальный метод решения задачи, рассматривая различные методы;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строить модель решения задачи, проводить доказательные рассуждения; анализировать и 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терпретировать результаты в контексте условия задачи, выбирать решения, не противоречащие контексту;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● применять для решения задач геометрические факты, если условия применения заданы в явной форме;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извлекать, интерпретировать и преобразовывать информа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цию о геометрических фигурах, представленную на чертежах.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Коммуникативные результаты: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приобретение знаний о решении нестандартных задач, о способах и средствах выполнения практических заданий при использовании данных методов;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формирование мотивации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изучению математики через внеурочную деятельность;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● самостоятельное или во взаимодействии с педагогом решение нестандартного задания, для данного возраста;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 умение высказывать мнение, обобщать задачи, классифицировать различные задачи по темам и при</w:t>
      </w:r>
      <w:r>
        <w:rPr>
          <w:rFonts w:ascii="Times New Roman" w:eastAsia="Times New Roman" w:hAnsi="Times New Roman" w:cs="Times New Roman"/>
          <w:sz w:val="24"/>
          <w:szCs w:val="24"/>
        </w:rPr>
        <w:t>нципа решения, обсуждать решение задания; ● умение самостоятельно применять изученные способы решения задач для создания проекта, умение самостоятельно подобрать задачи по данным темам, умение аргументировать свою позицию по выбору проекта, оценивать ситуа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цию и полученный результат. </w:t>
      </w:r>
    </w:p>
    <w:p w:rsidR="00E954E3" w:rsidRDefault="007031A9">
      <w:pPr>
        <w:shd w:val="clear" w:color="000000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Модуль 1. Алгебраические задания базового уровня (19 часов)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1. Вычисления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(8 часов).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вычислительных навыков, умение решать простейшие числовые и буквенные выражения, числовые простейшие неравенства, выполнять действия с дробными выражениями.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Уравнения и неравенства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(6 часов)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Совершенствование умений решения простейших ур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авнений и неравенств различными способами; выявление проблемных зон и совместное решение для их ликвидации.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3. Графики функций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(5 часов)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Рассмотрение графика линейной функции и его свойств, графика уравнения у=х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его свойств. Сравнение и анализ графиков функций в заданной координатной плоскости.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Модуль 2. Геометрические задачи базового уровня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4. Подсчет углов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 часа)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Отраб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отка навыка подсчета углов в треугольниках и четырехугольниках различных видов.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Площади фигур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(4 часа)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формул для вычисления площадей различных геометрических фигур. Использование нестандартных форм и методов для достижения поставленных 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лей. Формирование навыка работы на квадратной решетке.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6. Выбор верных утверждений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 часа)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Отработка заданий на выбор верных утверждений, использование метода лишнего утверждения.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Модуль 3. Реальная математика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(6 часов)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7. Графики и диаграммы.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товые задачи.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 часа)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умений чтения графиков и диаграмм. Отработка навыка решения задач на практический расчет, ориентировка на жизненный опыт. Постановка проблемы и совместные пути ее решения.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8. Реальная планиметрия. Теория вероятностей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 часа)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навыка решения задач практической направленности. Практическое применение элементов комбинаторики и теории вероятностей в современной жизни. Выявление проблемных зон по данной теме и совместные пути их решения. </w:t>
      </w:r>
    </w:p>
    <w:p w:rsidR="00E954E3" w:rsidRDefault="007031A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Итоговое заняти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е. (1 час) </w:t>
      </w:r>
    </w:p>
    <w:p w:rsidR="00E954E3" w:rsidRDefault="00E954E3">
      <w:pPr>
        <w:shd w:val="clear" w:color="000000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4E3" w:rsidRDefault="007031A9">
      <w:pPr>
        <w:shd w:val="clear" w:color="000000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E954E3" w:rsidRDefault="007031A9">
      <w:pPr>
        <w:shd w:val="clear" w:color="000000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курсу «Занимательная математика» для 8а класса</w:t>
      </w:r>
    </w:p>
    <w:p w:rsidR="00E954E3" w:rsidRDefault="00E954E3">
      <w:pPr>
        <w:shd w:val="clear" w:color="000000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5"/>
        <w:gridCol w:w="5594"/>
        <w:gridCol w:w="999"/>
        <w:gridCol w:w="940"/>
        <w:gridCol w:w="1096"/>
      </w:tblGrid>
      <w:tr w:rsidR="00E954E3">
        <w:trPr>
          <w:trHeight w:val="72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</w:p>
          <w:p w:rsidR="00E954E3" w:rsidRDefault="007031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Вычисления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Простейшие числовые и буквенные выражения.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числовые и буквенные выражения. Решение задач.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Алгебраические дроби.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Алгебраические дроби. Решение задач.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Действия с дробными выражениями.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Действия с дробными выражениями. Решение задач.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Действия с дробными выражениями. Решение задач.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Действия с рациональными выражениями. 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Уравнения и неравенства.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Линейные уравнения.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уравнения. Решение задач.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Уравнения, сводящиеся к линейным.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Уравнения, сводящиеся к линейным. Решение задач.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числовые неравенства.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Простейшие числовые неравенства.Решение задач.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Графики функций.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линейной функции и его свойства.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линейной функции и его свойства. Решение задач.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уравнения у=х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его свойства.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уравнения у=х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свойства. Решение задач.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и анализ графиков функций в заданной координатной плоскости.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Подсчет углов.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углов в треугольниках различных видов.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углов в четырехугольниках различных видов.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Площади фигур.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формул для вычисления площадей различных геометрических фигур.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формул для вычисления площадей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различных нестандартных геометрических фигур.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квадратной решетке. Нахождение отрезков и углов.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квадратной решетке. Вычисление площадей.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верных утверждений.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на выбор верных утверждений.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метода лишнего утверждения.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Графики и диаграммы. Текстовые задачи.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графиков и диаграмм.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на практический расчет.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проблемы при решении задач и пути ее решения.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Реальная планиметрия. Теория вероятностей.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практической направленности.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применение элементов комбинаторики при решении задач.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применение элементов теории вероятностей при решении задач.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54E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курсу «Занимательная Математика»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7031A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4E3" w:rsidRDefault="00E954E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954E3" w:rsidRDefault="00E954E3">
      <w:pPr>
        <w:shd w:val="clear" w:color="000000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4E3" w:rsidRDefault="00E954E3">
      <w:pPr>
        <w:shd w:val="clear" w:color="000000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4E3" w:rsidRDefault="00E954E3">
      <w:pPr>
        <w:shd w:val="clear" w:color="000000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4E3" w:rsidRDefault="00E954E3">
      <w:pPr>
        <w:shd w:val="clear" w:color="000000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4E3" w:rsidRDefault="00E954E3">
      <w:pPr>
        <w:spacing w:after="0" w:line="240" w:lineRule="auto"/>
        <w:ind w:left="-785"/>
      </w:pPr>
    </w:p>
    <w:p w:rsidR="00E954E3" w:rsidRDefault="00E954E3">
      <w:pPr>
        <w:shd w:val="clear" w:color="000000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54E3" w:rsidRDefault="00E954E3">
      <w:pPr>
        <w:shd w:val="clear" w:color="000000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54E3" w:rsidRDefault="00E954E3"/>
    <w:sectPr w:rsidR="00E954E3" w:rsidSect="00EE0E8F">
      <w:headerReference w:type="default" r:id="rId7"/>
      <w:footerReference w:type="default" r:id="rId8"/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1A9" w:rsidRDefault="007031A9">
      <w:pPr>
        <w:spacing w:after="0" w:line="240" w:lineRule="auto"/>
      </w:pPr>
      <w:r>
        <w:separator/>
      </w:r>
    </w:p>
  </w:endnote>
  <w:endnote w:type="continuationSeparator" w:id="0">
    <w:p w:rsidR="007031A9" w:rsidRDefault="0070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4E3" w:rsidRDefault="00E954E3">
    <w:pPr>
      <w:spacing w:after="0"/>
      <w:rPr>
        <w:rFonts w:ascii="Segoe UI" w:eastAsia="Segoe UI" w:hAnsi="Segoe UI" w:cs="Segoe U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1A9" w:rsidRDefault="007031A9">
      <w:pPr>
        <w:spacing w:after="0" w:line="240" w:lineRule="auto"/>
      </w:pPr>
      <w:r>
        <w:separator/>
      </w:r>
    </w:p>
  </w:footnote>
  <w:footnote w:type="continuationSeparator" w:id="0">
    <w:p w:rsidR="007031A9" w:rsidRDefault="00703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4E3" w:rsidRDefault="00E954E3">
    <w:pPr>
      <w:spacing w:after="0"/>
      <w:rPr>
        <w:rFonts w:ascii="Segoe UI" w:eastAsia="Segoe UI" w:hAnsi="Segoe UI" w:cs="Segoe U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Footer/>
  <w:proofState w:spelling="clean" w:grammar="clean"/>
  <w:defaultTabStop w:val="708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E3"/>
    <w:rsid w:val="007031A9"/>
    <w:rsid w:val="00E954E3"/>
    <w:rsid w:val="00EE0E8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821F02-498E-454D-9D3E-D0AAF8BD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5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next w:val="a"/>
    <w:uiPriority w:val="1"/>
    <w:qFormat/>
    <w:pPr>
      <w:spacing w:after="0" w:line="240" w:lineRule="auto"/>
      <w:jc w:val="both"/>
    </w:pPr>
    <w:rPr>
      <w:sz w:val="20"/>
      <w:szCs w:val="20"/>
    </w:r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pPr>
      <w:spacing w:after="0" w:line="240" w:lineRule="auto"/>
    </w:p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customStyle="1" w:styleId="11">
    <w:name w:val="Таблица простая 11"/>
    <w:basedOn w:val="a1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customStyle="1" w:styleId="21">
    <w:name w:val="Таблица простая 21"/>
    <w:basedOn w:val="a1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customStyle="1" w:styleId="31">
    <w:name w:val="Таблица простая 31"/>
    <w:basedOn w:val="a1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customStyle="1" w:styleId="51">
    <w:name w:val="Таблица простая 51"/>
    <w:basedOn w:val="a1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">
    <w:name w:val="Таблица-сетка 1 светлая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-111">
    <w:name w:val="Таблица-сетка 1 светлая — акцент 1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-121">
    <w:name w:val="Таблица-сетка 1 светлая — акцент 2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-131">
    <w:name w:val="Таблица-сетка 1 светлая — акцент 3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-141">
    <w:name w:val="Таблица-сетка 1 светлая — акцент 4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-151">
    <w:name w:val="Таблица-сетка 1 светлая — акцент 5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-161">
    <w:name w:val="Таблица-сетка 1 светлая — акцент 6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-21">
    <w:name w:val="Таблица-сетка 2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211">
    <w:name w:val="Таблица-сетка 2 — акцент 1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-221">
    <w:name w:val="Таблица-сетка 2 — акцент 2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-231">
    <w:name w:val="Таблица-сетка 2 — акцент 3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-241">
    <w:name w:val="Таблица-сетка 2 — акцент 4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-251">
    <w:name w:val="Таблица-сетка 2 — акцент 5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-261">
    <w:name w:val="Таблица-сетка 2 — акцент 6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-31">
    <w:name w:val="Таблица-сетка 3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321">
    <w:name w:val="Таблица-сетка 3 — акцент 2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-331">
    <w:name w:val="Таблица-сетка 3 — акцент 3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-341">
    <w:name w:val="Таблица-сетка 3 — акцент 4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-351">
    <w:name w:val="Таблица-сетка 3 — акцент 5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-361">
    <w:name w:val="Таблица-сетка 3 — акцент 6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-41">
    <w:name w:val="Таблица-сетка 4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411">
    <w:name w:val="Таблица-сетка 4 — акцент 1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-421">
    <w:name w:val="Таблица-сетка 4 — акцент 2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000000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-431">
    <w:name w:val="Таблица-сетка 4 — акцент 3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000000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-441">
    <w:name w:val="Таблица-сетка 4 — акцент 4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000000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-451">
    <w:name w:val="Таблица-сетка 4 — акцент 5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000000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000000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-51">
    <w:name w:val="Таблица-сетка 5 темная1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customStyle="1" w:styleId="-511">
    <w:name w:val="Таблица-сетка 5 темная — акцент 11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BE5F1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band1Vert">
      <w:tblPr/>
      <w:tcPr>
        <w:shd w:val="clear" w:color="000000" w:fill="B8CCE4" w:themeFill="accent1" w:themeFillTint="66"/>
      </w:tcPr>
    </w:tblStylePr>
    <w:tblStylePr w:type="band1Horz">
      <w:tblPr/>
      <w:tcPr>
        <w:shd w:val="clear" w:color="000000" w:fill="B8CCE4" w:themeFill="accent1" w:themeFillTint="66"/>
      </w:tcPr>
    </w:tblStylePr>
  </w:style>
  <w:style w:type="table" w:customStyle="1" w:styleId="-521">
    <w:name w:val="Таблица-сетка 5 темная — акцент 21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2DBDB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C0504D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C0504D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C0504D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C0504D" w:themeFill="accent2"/>
      </w:tcPr>
    </w:tblStylePr>
    <w:tblStylePr w:type="band1Vert">
      <w:tblPr/>
      <w:tcPr>
        <w:shd w:val="clear" w:color="000000" w:fill="E5B8B7" w:themeFill="accent2" w:themeFillTint="66"/>
      </w:tcPr>
    </w:tblStylePr>
    <w:tblStylePr w:type="band1Horz">
      <w:tblPr/>
      <w:tcPr>
        <w:shd w:val="clear" w:color="000000" w:fill="E5B8B7" w:themeFill="accent2" w:themeFillTint="66"/>
      </w:tcPr>
    </w:tblStylePr>
  </w:style>
  <w:style w:type="table" w:customStyle="1" w:styleId="-531">
    <w:name w:val="Таблица-сетка 5 темная — акцент 31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AF1D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9BBB59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9BBB59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9BBB59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9BBB59" w:themeFill="accent3"/>
      </w:tcPr>
    </w:tblStylePr>
    <w:tblStylePr w:type="band1Vert">
      <w:tblPr/>
      <w:tcPr>
        <w:shd w:val="clear" w:color="000000" w:fill="D6E3BC" w:themeFill="accent3" w:themeFillTint="66"/>
      </w:tcPr>
    </w:tblStylePr>
    <w:tblStylePr w:type="band1Horz">
      <w:tblPr/>
      <w:tcPr>
        <w:shd w:val="clear" w:color="000000" w:fill="D6E3BC" w:themeFill="accent3" w:themeFillTint="66"/>
      </w:tcPr>
    </w:tblStylePr>
  </w:style>
  <w:style w:type="table" w:customStyle="1" w:styleId="-541">
    <w:name w:val="Таблица-сетка 5 темная — акцент 41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5DFE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8064A2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8064A2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8064A2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8064A2" w:themeFill="accent4"/>
      </w:tcPr>
    </w:tblStylePr>
    <w:tblStylePr w:type="band1Vert">
      <w:tblPr/>
      <w:tcPr>
        <w:shd w:val="clear" w:color="000000" w:fill="CCC0D9" w:themeFill="accent4" w:themeFillTint="66"/>
      </w:tcPr>
    </w:tblStylePr>
    <w:tblStylePr w:type="band1Horz">
      <w:tblPr/>
      <w:tcPr>
        <w:shd w:val="clear" w:color="000000" w:fill="CCC0D9" w:themeFill="accent4" w:themeFillTint="66"/>
      </w:tcPr>
    </w:tblStylePr>
  </w:style>
  <w:style w:type="table" w:customStyle="1" w:styleId="-551">
    <w:name w:val="Таблица-сетка 5 темная — акцент 51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AEEF3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BACC6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BACC6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BACC6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BACC6" w:themeFill="accent5"/>
      </w:tcPr>
    </w:tblStylePr>
    <w:tblStylePr w:type="band1Vert">
      <w:tblPr/>
      <w:tcPr>
        <w:shd w:val="clear" w:color="000000" w:fill="B6DDE8" w:themeFill="accent5" w:themeFillTint="66"/>
      </w:tcPr>
    </w:tblStylePr>
    <w:tblStylePr w:type="band1Horz">
      <w:tblPr/>
      <w:tcPr>
        <w:shd w:val="clear" w:color="000000" w:fill="B6DDE8" w:themeFill="accent5" w:themeFillTint="66"/>
      </w:tcPr>
    </w:tblStylePr>
  </w:style>
  <w:style w:type="table" w:customStyle="1" w:styleId="-561">
    <w:name w:val="Таблица-сетка 5 темная — акцент 61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DE9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79646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79646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79646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79646" w:themeFill="accent6"/>
      </w:tcPr>
    </w:tblStylePr>
    <w:tblStylePr w:type="band1Vert">
      <w:tblPr/>
      <w:tcPr>
        <w:shd w:val="clear" w:color="000000" w:fill="FBD4B4" w:themeFill="accent6" w:themeFillTint="66"/>
      </w:tcPr>
    </w:tblStylePr>
    <w:tblStylePr w:type="band1Horz">
      <w:tblPr/>
      <w:tcPr>
        <w:shd w:val="clear" w:color="000000" w:fill="FBD4B4" w:themeFill="accent6" w:themeFillTint="66"/>
      </w:tcPr>
    </w:tblStylePr>
  </w:style>
  <w:style w:type="table" w:customStyle="1" w:styleId="-61">
    <w:name w:val="Таблица-сетка 6 цветная1"/>
    <w:basedOn w:val="a1"/>
    <w:uiPriority w:val="51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-631">
    <w:name w:val="Таблица-сетка 6 цветная — акцент 31"/>
    <w:basedOn w:val="a1"/>
    <w:uiPriority w:val="51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-641">
    <w:name w:val="Таблица-сетка 6 цветная — акцент 41"/>
    <w:basedOn w:val="a1"/>
    <w:uiPriority w:val="51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-651">
    <w:name w:val="Таблица-сетка 6 цветная — акцент 51"/>
    <w:basedOn w:val="a1"/>
    <w:uiPriority w:val="51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-71">
    <w:name w:val="Таблица-сетка 7 цветная1"/>
    <w:basedOn w:val="a1"/>
    <w:uiPriority w:val="52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1"/>
    <w:uiPriority w:val="52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1"/>
    <w:uiPriority w:val="52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1"/>
    <w:uiPriority w:val="52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1"/>
    <w:uiPriority w:val="52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1"/>
    <w:uiPriority w:val="52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1"/>
    <w:uiPriority w:val="52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-110">
    <w:name w:val="Список-таблица 1 светлая1"/>
    <w:basedOn w:val="a1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-1210">
    <w:name w:val="Список-таблица 1 светлая — акцент 21"/>
    <w:basedOn w:val="a1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-1310">
    <w:name w:val="Список-таблица 1 светлая — акцент 31"/>
    <w:basedOn w:val="a1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-1410">
    <w:name w:val="Список-таблица 1 светлая — акцент 41"/>
    <w:basedOn w:val="a1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-1510">
    <w:name w:val="Список-таблица 1 светлая — акцент 51"/>
    <w:basedOn w:val="a1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-1610">
    <w:name w:val="Список-таблица 1 светлая — акцент 61"/>
    <w:basedOn w:val="a1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-210">
    <w:name w:val="Список-таблица 2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2110">
    <w:name w:val="Список-таблица 2 — акцент 1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-2210">
    <w:name w:val="Список-таблица 2 — акцент 2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-2310">
    <w:name w:val="Список-таблица 2 — акцент 3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-2410">
    <w:name w:val="Список-таблица 2 — акцент 4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-2510">
    <w:name w:val="Список-таблица 2 — акцент 5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-2610">
    <w:name w:val="Список-таблица 2 — акцент 61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-310">
    <w:name w:val="Список-таблица 3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-410">
    <w:name w:val="Список-таблица 4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4110">
    <w:name w:val="Список-таблица 4 — акцент 1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000000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-4210">
    <w:name w:val="Список-таблица 4 — акцент 2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000000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-4310">
    <w:name w:val="Список-таблица 4 — акцент 3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000000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-4410">
    <w:name w:val="Список-таблица 4 — акцент 4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000000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-4510">
    <w:name w:val="Список-таблица 4 — акцент 5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000000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-4610">
    <w:name w:val="Список-таблица 4 — акцент 6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000000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ListTable5">
    <w:name w:val="List Table 5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000000" w:fill="4F81BD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000000" w:fill="C0504D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000000" w:fill="9BBB59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000000" w:fill="8064A2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000000" w:fill="4BACC6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000000" w:fill="F79646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1"/>
    <w:uiPriority w:val="51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1"/>
    <w:uiPriority w:val="51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-6210">
    <w:name w:val="Список-таблица 6 цветная — акцент 21"/>
    <w:basedOn w:val="a1"/>
    <w:uiPriority w:val="51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-6310">
    <w:name w:val="Список-таблица 6 цветная — акцент 31"/>
    <w:basedOn w:val="a1"/>
    <w:uiPriority w:val="51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-6410">
    <w:name w:val="Список-таблица 6 цветная — акцент 41"/>
    <w:basedOn w:val="a1"/>
    <w:uiPriority w:val="51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-6510">
    <w:name w:val="Список-таблица 6 цветная — акцент 51"/>
    <w:basedOn w:val="a1"/>
    <w:uiPriority w:val="51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-6610">
    <w:name w:val="Список-таблица 6 цветная — акцент 61"/>
    <w:basedOn w:val="a1"/>
    <w:uiPriority w:val="51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-710">
    <w:name w:val="Список-таблица 7 цветная1"/>
    <w:basedOn w:val="a1"/>
    <w:uiPriority w:val="52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F81BD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F81BD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F81BD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F81BD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1"/>
    <w:uiPriority w:val="52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C0504D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C0504D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C0504D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C0504D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1"/>
    <w:uiPriority w:val="52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9BBB59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9BBB59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9BBB59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9BBB59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1"/>
    <w:uiPriority w:val="52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64A2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64A2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64A2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64A2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1"/>
    <w:uiPriority w:val="52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BACC6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BACC6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BACC6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BACC6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1"/>
    <w:uiPriority w:val="52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79646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79646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79646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79646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pPr>
      <w:spacing w:after="0" w:line="240" w:lineRule="auto"/>
    </w:p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character" w:customStyle="1" w:styleId="t-strong-text">
    <w:name w:val="t-strong-text"/>
    <w:basedOn w:val="a0"/>
  </w:style>
  <w:style w:type="character" w:styleId="a5">
    <w:name w:val="Hyperlink"/>
    <w:basedOn w:val="a0"/>
    <w:uiPriority w:val="99"/>
    <w:unhideWhenUsed/>
    <w:rPr>
      <w:color w:val="0000FF" w:themeColor="hyperlink"/>
      <w:u w:val="singl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2205</Words>
  <Characters>12575</Characters>
  <Application>Microsoft Office Word</Application>
  <DocSecurity>0</DocSecurity>
  <Lines>104</Lines>
  <Paragraphs>29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</cp:lastModifiedBy>
  <cp:revision>2</cp:revision>
  <dcterms:created xsi:type="dcterms:W3CDTF">2025-10-19T06:18:00Z</dcterms:created>
  <dcterms:modified xsi:type="dcterms:W3CDTF">2025-10-19T06:18:00Z</dcterms:modified>
  <cp:version>10.115.186.54614</cp:version>
</cp:coreProperties>
</file>